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74</w:t>
      </w:r>
    </w:p>
    <w:p>
      <w:r>
        <w:t>Bundesgericht (BGE), 2009-12-15, FR</w:t>
      </w:r>
    </w:p>
    <w:p>
      <w:r>
        <w:rPr>
          <w:b/>
        </w:rPr>
        <w:t xml:space="preserve">Quelle: </w:t>
      </w:r>
      <w:r>
        <w:t>https://mcp.opencaselaw.ch/entscheid/bge_136 III 74</w:t>
      </w:r>
    </w:p>
    <w:p>
      <w:r>
        <w:t>FR: ATF 136 III 74</w:t>
      </w:r>
    </w:p>
    <w:p>
      <w:r>
        <w:t>IT: DTF 136 III 74</w:t>
      </w:r>
    </w:p>
    <w:p>
      <w:pPr>
        <w:pStyle w:val="Heading2"/>
      </w:pPr>
      <w:r>
        <w:t>Regeste</w:t>
      </w:r>
    </w:p>
    <w:p>
      <w:r>
        <w:t>Regeste Miete; quartierübliche Mietzinse (Art. 269a lit. a OR und Art. 11 Abs. 1 VMWG). Definition des Quartiers im Sinne von Art. 269a lit. a OR. Die Umgrenzung des Territoriums, das als Quartier zu betrachten ist, hängt in erster Linie von den tatsächlichen und historischen Verhältnissen des Ortes ab. Es obliegt den kantonalen Behörden, bei Vorliegen besonderer Umstände das Quartier unabhängig von den Kriterien gemäss Art. 11 Abs. 1 VMWG zu umreissen. Das Bundesgericht greift dabei nur zurückhaltend ein (E. 2). Mit der Mietsache vergleichbare Wohnräume im Sinne von Art. 11 Abs. 1 VMWG. Bei einem Abstand der Baujahre von mehr als 20 Jahren sind Liegenschaften nicht mehr als in die gleiche Bauperiode fallend zu betrachten. Das Kriterium der Anzahl der Zimmer ist nicht notwendigerweise ausschlaggebend, wenn grosse Wohnungen zum Vergleich stehen. Erfordernis eines konkreten Vergleichs gestützt auf die genaue Angabe der angewendeten Kriterien (E. 3).</w:t>
      </w:r>
    </w:p>
    <w:p>
      <w:pPr>
        <w:pStyle w:val="Heading2"/>
      </w:pPr>
      <w:r>
        <w:t>Erwägungen</w:t>
      </w:r>
    </w:p>
    <w:p>
      <w:r>
        <w:rPr>
          <w:b/>
        </w:rPr>
        <w:t>E. 2</w:t>
      </w:r>
    </w:p>
    <w:p>
      <w:r>
        <w:t>En premier lieu, la recourante invoque une violation de l' art. 269a let. a CO . Cette disposition précise qu'un loyer n'est en principe pas abusif s'il se situe dans les limites des loyers usuels dans la localité ou dans le quartier.</w:t>
      </w:r>
    </w:p>
    <w:p>
      <w:r>
        <w:rPr>
          <w:b/>
        </w:rPr>
        <w:t>E. 2.1</w:t>
      </w:r>
    </w:p>
    <w:p>
      <w:r>
        <w:t>Un congé motivé, comme en l'espèce, exclusivement par la volonté du bailleur d'obtenir d'un nouveau locataire un loyer plus élevé que le loyer payé par le locataire dont le bail est résilié ne contrevient en principe pas aux règles de la bonne foi (cf. art. 271 al. 1 CO ).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BGE 136 III 74 S. 77 l'hypothèse que le bailleur puisse majorer légalement le loyer, notamment parce que celui-ci est déjà conforme aux loyers usuels dans le quartier ( art. 269a let. a CO ) (cf. ATF 120 II 105 consid. 3b/bb p. 110; plus récemment, arrêt 4A_472/2007 du 11 mars 2008 consid. 2.1 et 2.2). En l'occurrence, il s'agit de déterminer si une augmentation du loyer est possible en application de la méthode absolue. Ce point n'est pas contesté.</w:t>
      </w:r>
    </w:p>
    <w:p>
      <w:r>
        <w:rPr>
          <w:b/>
        </w:rPr>
        <w:t>E. 2.2</w:t>
      </w:r>
    </w:p>
    <w:p>
      <w:r>
        <w:t>Le grief de la recourante se rapporte à la détermination des loyers usuels dans le quartier. La bailleresse reproche à la Chambre d'appel d'avoir défini de manière trop restrictive la notion de "quartier" figurant à l' art. 269a let. a CO et reprise à l'art. 11 al. 1 de l'ordonnance du 9 mai 1990 sur le bail à loyer et le bail à ferme d'habitations et de locaux commerciaux (OBLF; RS 221.213.11), en retenant un périmètre extrêmement réduit d'environ six hectares, qui correspond à 0,35 % de la surface de la ville de Genève, et en ne tenant aucun compte du découpage administratif de la ville en seize quartiers.</w:t>
      </w:r>
    </w:p>
    <w:p>
      <w:r>
        <w:rPr>
          <w:b/>
        </w:rPr>
        <w:t>E. 2.2.1</w:t>
      </w:r>
    </w:p>
    <w:p>
      <w:r>
        <w:t>Il convient de déterminer ce que la loi entend par quartier, notion qui relève du droit. La référence au quartier mentionné à l' art. 269a let. a CO a été reprise de l' art. 15 al. 1 let. a AMSL (RO 1972 II 1531). Le terme de quartier figure également dans la version allemande de l' art. 269a let. a CO ("quartierüblichen Mietzinse"). Aucune définition ne ressort des textes légaux ni des travaux législatifs. Le Tribunal fédéral n'a guère eu à se pencher sur cette notion. Il a précisé toutefois que des immeubles pouvaient faire partie du même quartier bien qu'ils soient situés dans des secteurs de la ville ayant des codes postaux différents ( ATF 123 III 317 consid. 4b/ee p. 322). Le terme quartier, désignant la quatrième partie d'un tout, a été transposée sur les villes romaines planifiées, qui étaient partagées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 art. 269a let. a CO une notion plus restreinte du quartier. En particulier, celui-ci ne se réduit pas à BGE 136 III 74 S. 78 un complexe architectural homogène. A cet égard, l' art. 11 al. 1 OBLF ,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 e éd. 1998, n° 34 ad art. 269a CO ). Il est à relever par ailleurs que l' 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RAYMOND BISANG ET AL., Das schweizerische Mietrecht, Kommentar, 3 e éd. 2008, n° 11 ad art. 269a CO , p. 554; HIGI, op. cit., n os 33 et 35 ad art. 269a CO ).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(cf. ATF 132 III 758 consid. 3.3. i.f. p. 762).</w:t>
      </w:r>
    </w:p>
    <w:p>
      <w:r>
        <w:rPr>
          <w:b/>
        </w:rPr>
        <w:t>E. 2.2.2</w:t>
      </w:r>
    </w:p>
    <w:p>
      <w:r>
        <w:t>En l'espèce, la Chambre d'appel a examiné uniquement neuf objets comparatifs situés dans le périmètre précité, dont ne fait du reste pas partie la rue Charles-Sturm où se trouve l'appartement occupé par les intimés; ce dernier est en bordure du boulevard des Tranchées, lequel délimite le périmètre en question. La cour cantonale a exclu deux appartements situés dans le périmètre retenu, au BGE 136 III 74 S. 79 motif qu'ils ne se trouvaient pas à proximité immédiate de rues comportant un trafic automobile important. Elle a considéré au surplus que les autres objets présentés ne relevaient pas du même quartier au sens de l' art. 269a let. a CO et pouvaient d'emblée être éliminés de la comparaison. Le périmètre défini par la Chambre d'appel a la forme d'un quadrilatère irrégulier d'environ 200 mètres sur 400 mètres. Il ne correspond ni à un quartier historique, ni à une entité administrative. Sa superficie est nettement plus restreinte que celle du quartier Centre-Plainpalais-Acacias ou des quartiers adjacents des Eaux-Vives et de Champel. Les secteurs hors de ce périmètre n'ont pas été pris en compte au seul motif qu'ils présentent un tissu urbain différent, comprenant des constructions plus récentes et offrant un caractère plus résidentiel. Ce faisant, la Chambre d'appel a apparemment exclu ces secteurs de la ville sur la base d'une appréciation globale, parce qu'ils semblent moins susceptibles de receler des appartements comparables à celui occupé par les intimés. Il ne s'agit pas là d'un critère définissant le quartier au sens de l' art. 269a let. a CO . Un tel mode de procéder revient à déclarer d'emblée non comparables tous les objets sis dans ces secteurs, sans avoir à examiner concrètement s'ils le sont au regard des critères de l' art. 11 al. 1 OBLF . La Chambre d'appel ne pouvait pas restreindre de la sorte les possibilités de la recourante de présenter des objets comparatifs. Il lui appartenait de définir d'abord le quartier indépendamment des critères de comparaison fixés à l' art. 11 al. 1 OBLF , puis d'examiner, sur la base de ces critères, les objets comparatifs présentés par la recourante qui sont situés dans le quartier tel que précédemment défini. Le grief tiré de la violation de l' art. 269a let. a CO est fondé.</w:t>
      </w:r>
    </w:p>
    <w:p>
      <w:r>
        <w:rPr>
          <w:b/>
        </w:rPr>
        <w:t>E. 3</w:t>
      </w:r>
    </w:p>
    <w:p>
      <w:r>
        <w:t>La recourante reproche également à la Chambre d'appel d'avoir violé l' art. 11 al. 1 OBLF et l' art. 274d al. 3 CO lors de l'examen des neuf objets comparatifs pris en considération. Le moyen n'est pas devenu sans objet. En effet, le Tribunal fédéral peut éventuellement éviter un renvoi et statuer lui-même au fond s'il arrive à la conclusion que cinq de ces neuf objets sont effectivement comparables à l'appartement occupé par les intimés (cf. consid. 3.1 infra).</w:t>
      </w:r>
    </w:p>
    <w:p>
      <w:r>
        <w:rPr>
          <w:b/>
        </w:rPr>
        <w:t>E. 3.1</w:t>
      </w:r>
    </w:p>
    <w:p>
      <w:r>
        <w:t>Selon l' art. 11 OBLF , les loyers déterminants pour la constatation des loyers usuels, dans la localité ou le quartier, sont ceux des logements comparables à la chose louée, quant à leur emplacement, dimension, équipement, état et année de construction (al. 1), à BGE 136 III 74 S. 80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123 III 317 consid. 4a p. 319; arrêt 4C.265/2000 du 16 janvier 2001 consid. 4, in SJ 2001 I p. 247). Les loyers de référence doivent eux- mêmes ne pas être abusifs; il est donc nécessaire, en principe, de les adapter aux baisses du taux hypothécaire survenues depuis le moment où ils ont été fixés ( ATF 127 III 411 consid. 5a p. 412 ss). Aux termes de l' art. 274d al. 3 CO , le juge établit d'office les faits et les parties sont tenues de lui soumettre toutes les pièces nécessaires. Selon la jurisprudence relative à cette disposition,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s.).</w:t>
      </w:r>
    </w:p>
    <w:p>
      <w:r>
        <w:rPr>
          <w:b/>
        </w:rPr>
        <w:t>E. 3.2</w:t>
      </w:r>
    </w:p>
    <w:p>
      <w:r>
        <w:t>Les neuf éléments de comparaison pris en compte par la cour cantonale doivent être examinés à l'aune de ces principes.</w:t>
      </w:r>
    </w:p>
    <w:p>
      <w:r>
        <w:rPr>
          <w:b/>
        </w:rPr>
        <w:t>E. 3.2.1</w:t>
      </w:r>
    </w:p>
    <w:p>
      <w:r>
        <w:t>La Chambre d'appel a écarté six objets parce qu'ils ne répondaient pas au critère de l'année de construction. Cinq appartements sont situés dans des immeubles construits en 1921 et le bâtiment abritant le sixième logement date de 1931; l'immeuble où logent les intimés ayant été construit en 1893, l'écart avec les exemples présentés est de vingt-huit, respectivement trente-huit ans. Selon la jurisprudence, des immeubles datant des deux premières décennies du vingtième siècle sont comparables sous l'angle de l'année de construction ( ATF 123 III 317 consid. 4b/aa p. 320). Par la suite, le Tribunal fédéral a précisé qu'une différence de plus de vingt ans ne permettait en tout cas pas de ranger deux bâtiments dans la même période de construction (arrêt 4C.40/2001 du 15 juin 2001 consid. 5c/bb). Un assouplissement de la règle des vingt ans ne se justifie pas. En effet, un certain schématisme s'impose dans ce domaine, afin d'assurer la prévisibilité du droit et l'égalité de traitement. BGE 136 III 74 S. 81 C'est dès lors à bon droit que la cour cantonale a éliminé de la comparaison les six exemples précités.</w:t>
      </w:r>
    </w:p>
    <w:p>
      <w:r>
        <w:rPr>
          <w:b/>
        </w:rPr>
        <w:t>E. 3.2.2</w:t>
      </w:r>
    </w:p>
    <w:p>
      <w:r>
        <w:t>Il reste trois objets - désignés sous les n os 11, 21 et 23 des pièces déposées par la bailleresse -, ce qui, en tout état de cause, est insuffisant pour démontrer que le loyer payé par les intimés est inférieur aux loyers usuels du quartier. Cela étant, les trois éléments de comparaison précités appellent les observations suivantes. La Chambre d'appel a écarté l'appartement de 180 m 2 situé dans l'immeuble sis à la route de Florissant yyy (objet n° 11) notamment parce qu'il comporte sept pièces alors que le logement occupé par les intimés n'en a que six. Or, si le nombre de pièces est déterminant lorsqu'il s'agit de comparer des appartements plutôt petits, ce critère l'est beaucoup moins lorsque la comparaison porte sur des appartements de grande dimension. Ainsi, le Tribunal fédéral a jugé que des appartements de 160 m 2 et 171 m 2 , voire de 142 m 2 étaient comparables selon le critère de la dimension, même si les uns comportaient sept pièces et les autres comprenaient six pièces ou six pièces et demie ( ATF 123 III 317 consid. 4b/cc p. 321). En l'espèce, l'objet n° 11, d'une surface de 180 m 2 , ne saurait être exclu de la comparaison avec l'appartement de 174 m 2 loué par les intimés parce qu'il comprend une pièce de plus. La Chambre d'appel a invoqué deux autres motifs pour écarter l'objet n° 11: "différence entre l'état général de l'immeuble (excellent/bon)" et "différence dans l'état de la cuisine (agencée/non agencée)". Faute de description plus précise de l'état réel des immeubles en cause, la présentation sommaire figurant dans l'arrêt attaqué ne répond pas à l'exigence jurisprudentielle d'une comparaison concrète, fondée sur l'indication exacte des critères utilisés. En ce qui concerne la cuisine, les précisions manquent également. Un agencement - dont on ignore s'il est récent ou non - garnissant une cuisine non équipée d'appareils ménagers ne constitue pas une différence notable excluant à elle seule toute comparaison avec un appartement dépourvu de cuisine agencée. Il s'ensuit que la cour de céans n'est pas en mesure de juger si l'objet n° 11 est comparable à l'appartement occupé par les intimés. Les juges genevois ont éliminé de la comparaison l'appartement de six pièces et demie, d'une surface de 144 m 2 , situé dans l'immeuble sis à la rue du Mont-de-Sion zzz (objet n° 21) en raison de BGE 136 III 74 S. 82 l'absence de référence au taux hypothécaire sur la base duquel le loyer avait été fixé. Bien qu'elle n'ait pas relevé d'autre motif excluant une comparaison, la cour cantonale n'a pas invité la recourante à compléter ses allégations avant de fonder sa décision sur cette seule omission. Ce faisant, elle a violé la maxime d'office. La Chambre d'appel a dès lors méconnu le droit fédéral en refusant de prendre en considération l'objet n° 21 pour le motif invoqué. La cour cantonale a écarté l'appartement de six pièces situé à la même adresse que l'objet n° 21 notamment parce que sa surface (136 m 2 ) était environ 20 % inférieure à celle de l'appartement occupé par les intimés (174 m 2 ). Cette conclusion est conforme à la jurisprudence, qui a déjà exclu la comparaison entre un appartement de 171 m 2 et un appartement de 130 m 2 ( ATF 123 III 317 consid. 4b/cc p.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